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A3" w:rsidRPr="003E5CA3" w:rsidRDefault="003E5CA3" w:rsidP="003E5CA3">
      <w:pPr>
        <w:jc w:val="center"/>
        <w:rPr>
          <w:color w:val="FF0000"/>
        </w:rPr>
      </w:pPr>
      <w:r w:rsidRPr="003E5CA3">
        <w:rPr>
          <w:color w:val="FF0000"/>
        </w:rPr>
        <w:t>CLASS NOTE</w:t>
      </w:r>
    </w:p>
    <w:p w:rsidR="003E5CA3" w:rsidRPr="003E5CA3" w:rsidRDefault="003E5CA3" w:rsidP="003E5CA3">
      <w:pPr>
        <w:jc w:val="center"/>
        <w:rPr>
          <w:color w:val="FF0000"/>
        </w:rPr>
      </w:pPr>
      <w:r w:rsidRPr="003E5CA3">
        <w:rPr>
          <w:color w:val="FF0000"/>
        </w:rPr>
        <w:t>B.COM: SEM--6</w:t>
      </w:r>
    </w:p>
    <w:p w:rsidR="003E5CA3" w:rsidRPr="003E5CA3" w:rsidRDefault="003E5CA3" w:rsidP="003E5CA3">
      <w:pPr>
        <w:jc w:val="center"/>
        <w:rPr>
          <w:color w:val="FF0000"/>
        </w:rPr>
      </w:pPr>
      <w:r w:rsidRPr="003E5CA3">
        <w:rPr>
          <w:color w:val="FF0000"/>
        </w:rPr>
        <w:t>Subject: FINANCIAL MANAGEMENT</w:t>
      </w:r>
    </w:p>
    <w:p w:rsidR="003E5CA3" w:rsidRPr="003E5CA3" w:rsidRDefault="003E5CA3" w:rsidP="003E5CA3">
      <w:pPr>
        <w:jc w:val="center"/>
        <w:rPr>
          <w:color w:val="FF0000"/>
        </w:rPr>
      </w:pPr>
      <w:r w:rsidRPr="003E5CA3">
        <w:rPr>
          <w:color w:val="FF0000"/>
        </w:rPr>
        <w:t>CHAPTER: WORKING CAPITAL - II</w:t>
      </w:r>
    </w:p>
    <w:p w:rsidR="003E5CA3" w:rsidRPr="003E5CA3" w:rsidRDefault="003E5CA3" w:rsidP="003E5CA3">
      <w:pPr>
        <w:jc w:val="center"/>
        <w:rPr>
          <w:color w:val="FF0000"/>
        </w:rPr>
      </w:pPr>
      <w:r w:rsidRPr="003E5CA3">
        <w:rPr>
          <w:color w:val="FF0000"/>
        </w:rPr>
        <w:t>TEACHER: DR B.CHANDRA</w:t>
      </w:r>
    </w:p>
    <w:p w:rsidR="003E5CA3" w:rsidRPr="003E5CA3" w:rsidRDefault="003E5CA3" w:rsidP="003E5CA3">
      <w:pPr>
        <w:jc w:val="center"/>
        <w:rPr>
          <w:color w:val="FF0000"/>
        </w:rPr>
      </w:pPr>
      <w:r w:rsidRPr="003E5CA3">
        <w:rPr>
          <w:color w:val="FF0000"/>
        </w:rPr>
        <w:t>LECTURE NO. 03</w:t>
      </w:r>
    </w:p>
    <w:p w:rsidR="003E5CA3" w:rsidRDefault="003E5CA3" w:rsidP="003E5CA3"/>
    <w:p w:rsidR="003E5CA3" w:rsidRDefault="003E5CA3" w:rsidP="003E5CA3">
      <w:r>
        <w:t>SUB: FINANCIAL MANAGEMENT</w:t>
      </w:r>
    </w:p>
    <w:p w:rsidR="003E5CA3" w:rsidRDefault="003E5CA3" w:rsidP="003E5CA3">
      <w:r>
        <w:t>CHAPTER: WORKING CAPITAL - II</w:t>
      </w:r>
    </w:p>
    <w:p w:rsidR="003E5CA3" w:rsidRDefault="003E5CA3" w:rsidP="003E5CA3">
      <w:r>
        <w:t>TOPIC; Policies relating Current Assets – Conservative, Aggressive and Balanced ; Various sources of finance to meet working capital requirements; Financing current assets: Strategies of financing (Matching, Conservative, and Aggressive policies) ;  Management of components of working capital (debtors management only–credit period -simple type)</w:t>
      </w:r>
    </w:p>
    <w:p w:rsidR="003E5CA3" w:rsidRPr="002551DD" w:rsidRDefault="003E5CA3" w:rsidP="003E5CA3">
      <w:pPr>
        <w:rPr>
          <w:color w:val="FF0000"/>
        </w:rPr>
      </w:pPr>
      <w:r>
        <w:t xml:space="preserve">Sub Topic – 3:  </w:t>
      </w:r>
      <w:r w:rsidRPr="002551DD">
        <w:rPr>
          <w:color w:val="FF0000"/>
        </w:rPr>
        <w:t>Financing current assets: Strategies of financing (Matching, Conservative, and Aggressive policies)</w:t>
      </w:r>
    </w:p>
    <w:p w:rsidR="003E5CA3" w:rsidRDefault="003E5CA3" w:rsidP="003E5CA3">
      <w:r>
        <w:t>FINANCING STRATEGIES FOR CURRENT ASSETS / WORKING CAPITAL</w:t>
      </w:r>
    </w:p>
    <w:p w:rsidR="003E5CA3" w:rsidRDefault="003E5CA3" w:rsidP="003E5CA3">
      <w:r>
        <w:t xml:space="preserve">ANSWER:  </w:t>
      </w:r>
    </w:p>
    <w:p w:rsidR="003E5CA3" w:rsidRDefault="002551DD" w:rsidP="002551DD">
      <w:pPr>
        <w:jc w:val="both"/>
      </w:pPr>
      <w:r>
        <w:t xml:space="preserve">         </w:t>
      </w:r>
      <w:r w:rsidR="003E5CA3">
        <w:t>An organization can finance the Current Assets / Working Capital by using the following financing strategies:</w:t>
      </w:r>
    </w:p>
    <w:p w:rsidR="003E5CA3" w:rsidRDefault="003E5CA3" w:rsidP="002551DD">
      <w:pPr>
        <w:jc w:val="both"/>
      </w:pPr>
      <w:r>
        <w:t>MATCHING APPROACH</w:t>
      </w:r>
    </w:p>
    <w:p w:rsidR="003E5CA3" w:rsidRDefault="003E5CA3" w:rsidP="002551DD">
      <w:pPr>
        <w:jc w:val="both"/>
      </w:pPr>
      <w:r>
        <w:t>As per this financing strategy, the organization matches the expected life of the current asset with the estimated life of the source of fund to raise these financial assets. For example, a machine whose life expectancy is 5 years can be funded using a loan of 5 years. The flip side of using this approach to finance your assets is that it may not be practically possible to match the life of an asset with that of its source of fund.</w:t>
      </w:r>
      <w:r>
        <w:t xml:space="preserve"> </w:t>
      </w:r>
      <w:r>
        <w:t>Similarly, for working capital financing, the matching approach aims to match the assets and liabilities to maturities. Thus, for every asset on the balance sheet, there is a corresponding liability that matures on the same day as the asset.</w:t>
      </w:r>
    </w:p>
    <w:p w:rsidR="003E5CA3" w:rsidRDefault="003E5CA3" w:rsidP="002551DD">
      <w:pPr>
        <w:jc w:val="both"/>
      </w:pPr>
    </w:p>
    <w:p w:rsidR="003E5CA3" w:rsidRDefault="003E5CA3" w:rsidP="002551DD">
      <w:pPr>
        <w:jc w:val="both"/>
      </w:pPr>
    </w:p>
    <w:p w:rsidR="003E5CA3" w:rsidRDefault="003E5CA3" w:rsidP="002551DD">
      <w:pPr>
        <w:jc w:val="both"/>
      </w:pPr>
    </w:p>
    <w:p w:rsidR="003E5CA3" w:rsidRDefault="003E5CA3" w:rsidP="002551DD">
      <w:pPr>
        <w:jc w:val="both"/>
      </w:pPr>
      <w:r>
        <w:lastRenderedPageBreak/>
        <w:t>CONSERVATIVE APPROACH</w:t>
      </w:r>
    </w:p>
    <w:p w:rsidR="003E5CA3" w:rsidRDefault="003E5CA3" w:rsidP="002551DD">
      <w:pPr>
        <w:jc w:val="both"/>
      </w:pPr>
      <w:r>
        <w:t>As per this financing strategy, the organization relies on the long-term funds to acquire permanent assets and a part of temporary assets. As this financing strategy uses long-term funds, it has less risk of a shortage of immediate funds. For working capital financing, this financing strategy requires an organization to maintain high levels of current assets in relation to its sales. Such surplus current assets can incorporate any changes in the sales and thus avoid disruption in the production plans.</w:t>
      </w:r>
    </w:p>
    <w:p w:rsidR="003E5CA3" w:rsidRDefault="003E5CA3" w:rsidP="002551DD">
      <w:pPr>
        <w:jc w:val="both"/>
      </w:pPr>
    </w:p>
    <w:p w:rsidR="003E5CA3" w:rsidRDefault="003E5CA3" w:rsidP="002551DD">
      <w:pPr>
        <w:jc w:val="both"/>
      </w:pPr>
      <w:r>
        <w:t>AGGRESSIVE APPROACH</w:t>
      </w:r>
    </w:p>
    <w:p w:rsidR="003E5CA3" w:rsidRDefault="003E5CA3" w:rsidP="002551DD">
      <w:pPr>
        <w:jc w:val="both"/>
      </w:pPr>
      <w:r>
        <w:t>As per this financing strategy, the organization uses its short-term funds to finance a part of its permanent assets. This is a very risky approach as there are chances that the organization might have a hard time dealing with its short-term obligations. However, many organizations use this financing strategy for its advantages of lower financing cost and higher profitability.</w:t>
      </w:r>
    </w:p>
    <w:p w:rsidR="003E5CA3" w:rsidRDefault="003E5CA3" w:rsidP="002551DD">
      <w:pPr>
        <w:jc w:val="both"/>
      </w:pPr>
      <w:r>
        <w:t>For working capital financing, under this approach, the reliance is on short-term funds that are used for maintaining the current assets. These current assets are maintained only to meet the current liabilities and do not provide any cushion for the variation in working capital requirements.</w:t>
      </w:r>
    </w:p>
    <w:p w:rsidR="003E5CA3" w:rsidRDefault="003E5CA3" w:rsidP="002551DD">
      <w:pPr>
        <w:jc w:val="both"/>
      </w:pPr>
      <w:r>
        <w:t>CONCLUSION</w:t>
      </w:r>
    </w:p>
    <w:p w:rsidR="003E5CA3" w:rsidRDefault="003E5CA3" w:rsidP="002551DD">
      <w:pPr>
        <w:jc w:val="both"/>
      </w:pPr>
      <w:r>
        <w:t>Financing strategies are imperative for all the organizations to help in planning their financial future. A financing strategy can assist you in setting clear-cut goals and working towards becoming a financially secure business organization. It takes into account your current financial status, your financial objectives and the best possible steps to achieve them</w:t>
      </w:r>
    </w:p>
    <w:p w:rsidR="003E5CA3" w:rsidRDefault="002551DD" w:rsidP="003E5CA3">
      <w:r>
        <w:t xml:space="preserve">        </w:t>
      </w:r>
      <w:r w:rsidR="003E5CA3">
        <w:t>We will compare these three approaches on 5 parameters viz. liquidity, profitability, risk, asset utilization, and working capital.</w:t>
      </w:r>
    </w:p>
    <w:p w:rsidR="003E5CA3" w:rsidRDefault="003E5CA3" w:rsidP="003E5CA3"/>
    <w:p w:rsidR="002551DD" w:rsidRDefault="002551DD" w:rsidP="003E5CA3"/>
    <w:p w:rsidR="002551DD" w:rsidRDefault="002551DD" w:rsidP="003E5CA3"/>
    <w:p w:rsidR="002551DD" w:rsidRDefault="002551DD" w:rsidP="003E5CA3"/>
    <w:p w:rsidR="002551DD" w:rsidRDefault="002551DD" w:rsidP="003E5CA3"/>
    <w:p w:rsidR="002551DD" w:rsidRDefault="002551DD" w:rsidP="003E5CA3"/>
    <w:p w:rsidR="002551DD" w:rsidRDefault="002551DD" w:rsidP="003E5CA3"/>
    <w:p w:rsidR="002551DD" w:rsidRDefault="002551DD" w:rsidP="003E5CA3"/>
    <w:p w:rsidR="003E5CA3" w:rsidRDefault="003E5CA3" w:rsidP="003E5CA3">
      <w:r>
        <w:t>.</w:t>
      </w:r>
    </w:p>
    <w:tbl>
      <w:tblPr>
        <w:tblW w:w="9402" w:type="dxa"/>
        <w:tblBorders>
          <w:top w:val="single" w:sz="6" w:space="0" w:color="E4E4E4"/>
          <w:left w:val="single" w:sz="6" w:space="0" w:color="E4E4E4"/>
          <w:bottom w:val="single" w:sz="6" w:space="0" w:color="E4E4E4"/>
          <w:right w:val="single" w:sz="6" w:space="0" w:color="E4E4E4"/>
        </w:tblBorders>
        <w:tblCellMar>
          <w:left w:w="0" w:type="dxa"/>
          <w:right w:w="0" w:type="dxa"/>
        </w:tblCellMar>
        <w:tblLook w:val="04A0"/>
      </w:tblPr>
      <w:tblGrid>
        <w:gridCol w:w="1565"/>
        <w:gridCol w:w="2131"/>
        <w:gridCol w:w="1920"/>
        <w:gridCol w:w="1852"/>
        <w:gridCol w:w="1934"/>
      </w:tblGrid>
      <w:tr w:rsidR="003E5CA3" w:rsidTr="002551DD">
        <w:trPr>
          <w:trHeight w:val="795"/>
        </w:trPr>
        <w:tc>
          <w:tcPr>
            <w:tcW w:w="1565" w:type="dxa"/>
            <w:tcBorders>
              <w:top w:val="single" w:sz="4" w:space="0" w:color="auto"/>
              <w:left w:val="single" w:sz="4" w:space="0" w:color="auto"/>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rPr>
                <w:rStyle w:val="Strong"/>
                <w:rFonts w:ascii="inherit" w:hAnsi="inherit"/>
                <w:bdr w:val="none" w:sz="0" w:space="0" w:color="auto" w:frame="1"/>
              </w:rPr>
              <w:lastRenderedPageBreak/>
              <w:t>Factors</w:t>
            </w:r>
          </w:p>
        </w:tc>
        <w:tc>
          <w:tcPr>
            <w:tcW w:w="2131" w:type="dxa"/>
            <w:tcBorders>
              <w:top w:val="single" w:sz="4" w:space="0" w:color="auto"/>
              <w:left w:val="nil"/>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rPr>
                <w:rStyle w:val="Strong"/>
                <w:rFonts w:ascii="inherit" w:hAnsi="inherit"/>
                <w:bdr w:val="none" w:sz="0" w:space="0" w:color="auto" w:frame="1"/>
              </w:rPr>
              <w:t>Term Significance</w:t>
            </w:r>
          </w:p>
        </w:tc>
        <w:tc>
          <w:tcPr>
            <w:tcW w:w="1920" w:type="dxa"/>
            <w:tcBorders>
              <w:top w:val="single" w:sz="4" w:space="0" w:color="auto"/>
              <w:left w:val="nil"/>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rPr>
                <w:rStyle w:val="Strong"/>
                <w:rFonts w:ascii="inherit" w:hAnsi="inherit"/>
                <w:bdr w:val="none" w:sz="0" w:space="0" w:color="auto" w:frame="1"/>
              </w:rPr>
              <w:t>Conservative</w:t>
            </w:r>
          </w:p>
        </w:tc>
        <w:tc>
          <w:tcPr>
            <w:tcW w:w="1852" w:type="dxa"/>
            <w:tcBorders>
              <w:top w:val="single" w:sz="4" w:space="0" w:color="auto"/>
              <w:left w:val="nil"/>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rPr>
                <w:rStyle w:val="Strong"/>
                <w:rFonts w:ascii="inherit" w:hAnsi="inherit"/>
                <w:bdr w:val="none" w:sz="0" w:space="0" w:color="auto" w:frame="1"/>
              </w:rPr>
              <w:t>Aggressive</w:t>
            </w:r>
          </w:p>
        </w:tc>
        <w:tc>
          <w:tcPr>
            <w:tcW w:w="1934" w:type="dxa"/>
            <w:tcBorders>
              <w:top w:val="single" w:sz="4" w:space="0" w:color="auto"/>
              <w:left w:val="nil"/>
              <w:bottom w:val="single" w:sz="4" w:space="0" w:color="auto"/>
              <w:right w:val="single" w:sz="4" w:space="0" w:color="auto"/>
            </w:tcBorders>
            <w:tcMar>
              <w:top w:w="97" w:type="dxa"/>
              <w:left w:w="208" w:type="dxa"/>
              <w:bottom w:w="97" w:type="dxa"/>
              <w:right w:w="208" w:type="dxa"/>
            </w:tcMar>
            <w:vAlign w:val="bottom"/>
            <w:hideMark/>
          </w:tcPr>
          <w:p w:rsidR="003E5CA3" w:rsidRDefault="003E5CA3" w:rsidP="00FE18CD">
            <w:pPr>
              <w:rPr>
                <w:sz w:val="24"/>
                <w:szCs w:val="24"/>
              </w:rPr>
            </w:pPr>
            <w:r>
              <w:rPr>
                <w:rStyle w:val="Strong"/>
                <w:rFonts w:ascii="inherit" w:hAnsi="inherit"/>
                <w:bdr w:val="none" w:sz="0" w:space="0" w:color="auto" w:frame="1"/>
              </w:rPr>
              <w:t>Hedging</w:t>
            </w:r>
          </w:p>
        </w:tc>
      </w:tr>
      <w:tr w:rsidR="002551DD" w:rsidTr="00FE18CD">
        <w:tc>
          <w:tcPr>
            <w:tcW w:w="1565" w:type="dxa"/>
            <w:tcBorders>
              <w:top w:val="single" w:sz="4" w:space="0" w:color="auto"/>
              <w:left w:val="single" w:sz="4" w:space="0" w:color="auto"/>
              <w:bottom w:val="nil"/>
              <w:right w:val="nil"/>
            </w:tcBorders>
            <w:tcMar>
              <w:top w:w="97" w:type="dxa"/>
              <w:left w:w="208" w:type="dxa"/>
              <w:bottom w:w="97" w:type="dxa"/>
              <w:right w:w="208" w:type="dxa"/>
            </w:tcMar>
            <w:vAlign w:val="bottom"/>
            <w:hideMark/>
          </w:tcPr>
          <w:p w:rsidR="002551DD" w:rsidRDefault="002551DD" w:rsidP="00FE18CD">
            <w:pPr>
              <w:rPr>
                <w:rStyle w:val="Strong"/>
                <w:rFonts w:ascii="inherit" w:hAnsi="inherit"/>
                <w:bdr w:val="none" w:sz="0" w:space="0" w:color="auto" w:frame="1"/>
              </w:rPr>
            </w:pPr>
          </w:p>
        </w:tc>
        <w:tc>
          <w:tcPr>
            <w:tcW w:w="2131" w:type="dxa"/>
            <w:tcBorders>
              <w:top w:val="single" w:sz="4" w:space="0" w:color="auto"/>
              <w:left w:val="nil"/>
              <w:bottom w:val="nil"/>
              <w:right w:val="nil"/>
            </w:tcBorders>
            <w:tcMar>
              <w:top w:w="97" w:type="dxa"/>
              <w:left w:w="208" w:type="dxa"/>
              <w:bottom w:w="97" w:type="dxa"/>
              <w:right w:w="208" w:type="dxa"/>
            </w:tcMar>
            <w:vAlign w:val="bottom"/>
            <w:hideMark/>
          </w:tcPr>
          <w:p w:rsidR="002551DD" w:rsidRDefault="002551DD" w:rsidP="00FE18CD">
            <w:pPr>
              <w:rPr>
                <w:rStyle w:val="Strong"/>
                <w:rFonts w:ascii="inherit" w:hAnsi="inherit"/>
                <w:bdr w:val="none" w:sz="0" w:space="0" w:color="auto" w:frame="1"/>
              </w:rPr>
            </w:pPr>
          </w:p>
        </w:tc>
        <w:tc>
          <w:tcPr>
            <w:tcW w:w="1920" w:type="dxa"/>
            <w:tcBorders>
              <w:top w:val="single" w:sz="4" w:space="0" w:color="auto"/>
              <w:left w:val="nil"/>
              <w:bottom w:val="nil"/>
              <w:right w:val="nil"/>
            </w:tcBorders>
            <w:tcMar>
              <w:top w:w="97" w:type="dxa"/>
              <w:left w:w="208" w:type="dxa"/>
              <w:bottom w:w="97" w:type="dxa"/>
              <w:right w:w="208" w:type="dxa"/>
            </w:tcMar>
            <w:vAlign w:val="bottom"/>
            <w:hideMark/>
          </w:tcPr>
          <w:p w:rsidR="002551DD" w:rsidRDefault="002551DD" w:rsidP="00FE18CD">
            <w:pPr>
              <w:rPr>
                <w:rStyle w:val="Strong"/>
                <w:rFonts w:ascii="inherit" w:hAnsi="inherit"/>
                <w:bdr w:val="none" w:sz="0" w:space="0" w:color="auto" w:frame="1"/>
              </w:rPr>
            </w:pPr>
          </w:p>
        </w:tc>
        <w:tc>
          <w:tcPr>
            <w:tcW w:w="1852" w:type="dxa"/>
            <w:tcBorders>
              <w:top w:val="single" w:sz="4" w:space="0" w:color="auto"/>
              <w:left w:val="nil"/>
              <w:bottom w:val="nil"/>
              <w:right w:val="nil"/>
            </w:tcBorders>
            <w:tcMar>
              <w:top w:w="97" w:type="dxa"/>
              <w:left w:w="208" w:type="dxa"/>
              <w:bottom w:w="97" w:type="dxa"/>
              <w:right w:w="208" w:type="dxa"/>
            </w:tcMar>
            <w:vAlign w:val="bottom"/>
            <w:hideMark/>
          </w:tcPr>
          <w:p w:rsidR="002551DD" w:rsidRDefault="002551DD" w:rsidP="00FE18CD">
            <w:pPr>
              <w:rPr>
                <w:rStyle w:val="Strong"/>
                <w:rFonts w:ascii="inherit" w:hAnsi="inherit"/>
                <w:bdr w:val="none" w:sz="0" w:space="0" w:color="auto" w:frame="1"/>
              </w:rPr>
            </w:pPr>
          </w:p>
        </w:tc>
        <w:tc>
          <w:tcPr>
            <w:tcW w:w="1934" w:type="dxa"/>
            <w:tcBorders>
              <w:top w:val="single" w:sz="4" w:space="0" w:color="auto"/>
              <w:left w:val="nil"/>
              <w:bottom w:val="nil"/>
              <w:right w:val="single" w:sz="4" w:space="0" w:color="auto"/>
            </w:tcBorders>
            <w:tcMar>
              <w:top w:w="97" w:type="dxa"/>
              <w:left w:w="208" w:type="dxa"/>
              <w:bottom w:w="97" w:type="dxa"/>
              <w:right w:w="208" w:type="dxa"/>
            </w:tcMar>
            <w:vAlign w:val="bottom"/>
            <w:hideMark/>
          </w:tcPr>
          <w:p w:rsidR="002551DD" w:rsidRDefault="002551DD" w:rsidP="00FE18CD">
            <w:pPr>
              <w:rPr>
                <w:rStyle w:val="Strong"/>
                <w:rFonts w:ascii="inherit" w:hAnsi="inherit"/>
                <w:bdr w:val="none" w:sz="0" w:space="0" w:color="auto" w:frame="1"/>
              </w:rPr>
            </w:pPr>
          </w:p>
        </w:tc>
      </w:tr>
      <w:tr w:rsidR="003E5CA3" w:rsidTr="00FE18CD">
        <w:trPr>
          <w:trHeight w:val="4223"/>
        </w:trPr>
        <w:tc>
          <w:tcPr>
            <w:tcW w:w="1565" w:type="dxa"/>
            <w:tcBorders>
              <w:top w:val="nil"/>
              <w:left w:val="single" w:sz="4" w:space="0" w:color="auto"/>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rPr>
                <w:rStyle w:val="Strong"/>
                <w:rFonts w:ascii="inherit" w:hAnsi="inherit"/>
                <w:bdr w:val="none" w:sz="0" w:space="0" w:color="auto" w:frame="1"/>
              </w:rPr>
              <w:t>Liquidity</w:t>
            </w:r>
          </w:p>
        </w:tc>
        <w:tc>
          <w:tcPr>
            <w:tcW w:w="2131" w:type="dxa"/>
            <w:tcBorders>
              <w:top w:val="nil"/>
              <w:left w:val="nil"/>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t>It is extremely important in business for a smooth operation of the day to day business activities and to grab occasional opportunities thrown by the business.</w:t>
            </w:r>
          </w:p>
        </w:tc>
        <w:tc>
          <w:tcPr>
            <w:tcW w:w="1920" w:type="dxa"/>
            <w:tcBorders>
              <w:top w:val="nil"/>
              <w:left w:val="nil"/>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t>Liquidity is </w:t>
            </w:r>
            <w:r>
              <w:rPr>
                <w:rStyle w:val="Strong"/>
                <w:rFonts w:ascii="inherit" w:hAnsi="inherit"/>
                <w:bdr w:val="none" w:sz="0" w:space="0" w:color="auto" w:frame="1"/>
              </w:rPr>
              <w:t>high</w:t>
            </w:r>
            <w:r>
              <w:t>, because of heavy usage of long-term funds. It can take advantage of sudden opportunities.</w:t>
            </w:r>
          </w:p>
        </w:tc>
        <w:tc>
          <w:tcPr>
            <w:tcW w:w="1852" w:type="dxa"/>
            <w:tcBorders>
              <w:top w:val="nil"/>
              <w:left w:val="nil"/>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t>Liquidity is </w:t>
            </w:r>
            <w:r>
              <w:rPr>
                <w:rStyle w:val="Strong"/>
                <w:rFonts w:ascii="inherit" w:hAnsi="inherit"/>
                <w:bdr w:val="none" w:sz="0" w:space="0" w:color="auto" w:frame="1"/>
              </w:rPr>
              <w:t>low</w:t>
            </w:r>
            <w:r>
              <w:t> due to greater dependability on short-term funds even for a part of long-term assets. It does not keep idle funds and therefore saves interest cost on them.</w:t>
            </w:r>
          </w:p>
        </w:tc>
        <w:tc>
          <w:tcPr>
            <w:tcW w:w="1934" w:type="dxa"/>
            <w:tcBorders>
              <w:top w:val="nil"/>
              <w:left w:val="nil"/>
              <w:bottom w:val="single" w:sz="4" w:space="0" w:color="auto"/>
              <w:right w:val="single" w:sz="4" w:space="0" w:color="auto"/>
            </w:tcBorders>
            <w:tcMar>
              <w:top w:w="97" w:type="dxa"/>
              <w:left w:w="208" w:type="dxa"/>
              <w:bottom w:w="97" w:type="dxa"/>
              <w:right w:w="208" w:type="dxa"/>
            </w:tcMar>
            <w:vAlign w:val="bottom"/>
            <w:hideMark/>
          </w:tcPr>
          <w:p w:rsidR="003E5CA3" w:rsidRDefault="003E5CA3" w:rsidP="00FE18CD">
            <w:pPr>
              <w:rPr>
                <w:sz w:val="24"/>
                <w:szCs w:val="24"/>
              </w:rPr>
            </w:pPr>
            <w:r>
              <w:t>Liquidity is </w:t>
            </w:r>
            <w:r>
              <w:rPr>
                <w:rStyle w:val="Strong"/>
                <w:rFonts w:ascii="inherit" w:hAnsi="inherit"/>
                <w:bdr w:val="none" w:sz="0" w:space="0" w:color="auto" w:frame="1"/>
              </w:rPr>
              <w:t>balanced</w:t>
            </w:r>
            <w:r>
              <w:t> i.e. neither high nor low. It attempts to strike a balance between liquidity and cost of idle funds.</w:t>
            </w:r>
          </w:p>
        </w:tc>
      </w:tr>
      <w:tr w:rsidR="003E5CA3" w:rsidTr="00FE18CD">
        <w:tc>
          <w:tcPr>
            <w:tcW w:w="1565" w:type="dxa"/>
            <w:tcBorders>
              <w:top w:val="single" w:sz="4" w:space="0" w:color="auto"/>
              <w:left w:val="single" w:sz="4" w:space="0" w:color="auto"/>
              <w:bottom w:val="nil"/>
              <w:right w:val="nil"/>
            </w:tcBorders>
            <w:tcMar>
              <w:top w:w="97" w:type="dxa"/>
              <w:left w:w="208" w:type="dxa"/>
              <w:bottom w:w="97" w:type="dxa"/>
              <w:right w:w="208" w:type="dxa"/>
            </w:tcMar>
            <w:vAlign w:val="bottom"/>
            <w:hideMark/>
          </w:tcPr>
          <w:p w:rsidR="003E5CA3" w:rsidRDefault="003E5CA3" w:rsidP="00FE18CD">
            <w:pPr>
              <w:rPr>
                <w:rStyle w:val="Strong"/>
                <w:rFonts w:ascii="inherit" w:hAnsi="inherit"/>
                <w:bdr w:val="none" w:sz="0" w:space="0" w:color="auto" w:frame="1"/>
              </w:rPr>
            </w:pPr>
          </w:p>
        </w:tc>
        <w:tc>
          <w:tcPr>
            <w:tcW w:w="2131" w:type="dxa"/>
            <w:tcBorders>
              <w:top w:val="single" w:sz="4" w:space="0" w:color="auto"/>
              <w:left w:val="nil"/>
              <w:bottom w:val="nil"/>
              <w:right w:val="nil"/>
            </w:tcBorders>
            <w:tcMar>
              <w:top w:w="97" w:type="dxa"/>
              <w:left w:w="208" w:type="dxa"/>
              <w:bottom w:w="97" w:type="dxa"/>
              <w:right w:w="208" w:type="dxa"/>
            </w:tcMar>
            <w:vAlign w:val="bottom"/>
            <w:hideMark/>
          </w:tcPr>
          <w:p w:rsidR="003E5CA3" w:rsidRDefault="003E5CA3" w:rsidP="00FE18CD"/>
        </w:tc>
        <w:tc>
          <w:tcPr>
            <w:tcW w:w="1920" w:type="dxa"/>
            <w:tcBorders>
              <w:top w:val="single" w:sz="4" w:space="0" w:color="auto"/>
              <w:left w:val="nil"/>
              <w:bottom w:val="nil"/>
              <w:right w:val="nil"/>
            </w:tcBorders>
            <w:tcMar>
              <w:top w:w="97" w:type="dxa"/>
              <w:left w:w="208" w:type="dxa"/>
              <w:bottom w:w="97" w:type="dxa"/>
              <w:right w:w="208" w:type="dxa"/>
            </w:tcMar>
            <w:vAlign w:val="bottom"/>
            <w:hideMark/>
          </w:tcPr>
          <w:p w:rsidR="003E5CA3" w:rsidRDefault="003E5CA3" w:rsidP="00FE18CD"/>
        </w:tc>
        <w:tc>
          <w:tcPr>
            <w:tcW w:w="1852" w:type="dxa"/>
            <w:tcBorders>
              <w:top w:val="single" w:sz="4" w:space="0" w:color="auto"/>
              <w:left w:val="nil"/>
              <w:bottom w:val="nil"/>
              <w:right w:val="nil"/>
            </w:tcBorders>
            <w:tcMar>
              <w:top w:w="97" w:type="dxa"/>
              <w:left w:w="208" w:type="dxa"/>
              <w:bottom w:w="97" w:type="dxa"/>
              <w:right w:w="208" w:type="dxa"/>
            </w:tcMar>
            <w:vAlign w:val="bottom"/>
            <w:hideMark/>
          </w:tcPr>
          <w:p w:rsidR="003E5CA3" w:rsidRDefault="003E5CA3" w:rsidP="00FE18CD"/>
        </w:tc>
        <w:tc>
          <w:tcPr>
            <w:tcW w:w="1934" w:type="dxa"/>
            <w:tcBorders>
              <w:top w:val="single" w:sz="4" w:space="0" w:color="auto"/>
              <w:left w:val="nil"/>
              <w:bottom w:val="nil"/>
              <w:right w:val="single" w:sz="4" w:space="0" w:color="auto"/>
            </w:tcBorders>
            <w:tcMar>
              <w:top w:w="97" w:type="dxa"/>
              <w:left w:w="208" w:type="dxa"/>
              <w:bottom w:w="97" w:type="dxa"/>
              <w:right w:w="208" w:type="dxa"/>
            </w:tcMar>
            <w:vAlign w:val="bottom"/>
            <w:hideMark/>
          </w:tcPr>
          <w:p w:rsidR="003E5CA3" w:rsidRDefault="003E5CA3" w:rsidP="00FE18CD"/>
        </w:tc>
      </w:tr>
      <w:tr w:rsidR="003E5CA3" w:rsidTr="002551DD">
        <w:trPr>
          <w:trHeight w:val="5475"/>
        </w:trPr>
        <w:tc>
          <w:tcPr>
            <w:tcW w:w="1565" w:type="dxa"/>
            <w:tcBorders>
              <w:top w:val="nil"/>
              <w:left w:val="single" w:sz="4" w:space="0" w:color="auto"/>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rPr>
                <w:rStyle w:val="Strong"/>
                <w:rFonts w:ascii="inherit" w:hAnsi="inherit"/>
                <w:bdr w:val="none" w:sz="0" w:space="0" w:color="auto" w:frame="1"/>
              </w:rPr>
              <w:t>Profitability</w:t>
            </w:r>
          </w:p>
        </w:tc>
        <w:tc>
          <w:tcPr>
            <w:tcW w:w="2131" w:type="dxa"/>
            <w:tcBorders>
              <w:top w:val="nil"/>
              <w:left w:val="nil"/>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t>Profitability is the final goal of any business. Each and every step of a manager should finally boil down to profitability.</w:t>
            </w:r>
          </w:p>
        </w:tc>
        <w:tc>
          <w:tcPr>
            <w:tcW w:w="1920" w:type="dxa"/>
            <w:tcBorders>
              <w:top w:val="nil"/>
              <w:left w:val="nil"/>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t>Under normal circumstances, profitability is less in this strategy because of too much idle and costly funds. Higher rate and bigger magnitude of interest cost reduce the profitability.</w:t>
            </w:r>
          </w:p>
        </w:tc>
        <w:tc>
          <w:tcPr>
            <w:tcW w:w="1852" w:type="dxa"/>
            <w:tcBorders>
              <w:top w:val="nil"/>
              <w:left w:val="nil"/>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t>Since the interest cost is minimized in this approach, higher profitability is obtained.</w:t>
            </w:r>
          </w:p>
        </w:tc>
        <w:tc>
          <w:tcPr>
            <w:tcW w:w="1934" w:type="dxa"/>
            <w:tcBorders>
              <w:top w:val="nil"/>
              <w:left w:val="nil"/>
              <w:bottom w:val="single" w:sz="4" w:space="0" w:color="auto"/>
              <w:right w:val="single" w:sz="4" w:space="0" w:color="auto"/>
            </w:tcBorders>
            <w:tcMar>
              <w:top w:w="97" w:type="dxa"/>
              <w:left w:w="208" w:type="dxa"/>
              <w:bottom w:w="97" w:type="dxa"/>
              <w:right w:w="208" w:type="dxa"/>
            </w:tcMar>
            <w:vAlign w:val="bottom"/>
            <w:hideMark/>
          </w:tcPr>
          <w:p w:rsidR="003E5CA3" w:rsidRDefault="003E5CA3" w:rsidP="00FE18CD">
            <w:pPr>
              <w:rPr>
                <w:sz w:val="24"/>
                <w:szCs w:val="24"/>
              </w:rPr>
            </w:pPr>
            <w:r>
              <w:t>Because of cut to cut management, a balance is achieved between interest cost and loss of profitability. Moderate profitability is maintained here. It is greater than conservative and lesser than aggressive.</w:t>
            </w:r>
          </w:p>
        </w:tc>
      </w:tr>
      <w:tr w:rsidR="002551DD" w:rsidTr="002551DD">
        <w:tc>
          <w:tcPr>
            <w:tcW w:w="1565" w:type="dxa"/>
            <w:tcBorders>
              <w:top w:val="single" w:sz="4" w:space="0" w:color="auto"/>
              <w:left w:val="single" w:sz="4" w:space="0" w:color="auto"/>
              <w:bottom w:val="nil"/>
              <w:right w:val="nil"/>
            </w:tcBorders>
            <w:tcMar>
              <w:top w:w="97" w:type="dxa"/>
              <w:left w:w="208" w:type="dxa"/>
              <w:bottom w:w="97" w:type="dxa"/>
              <w:right w:w="208" w:type="dxa"/>
            </w:tcMar>
            <w:vAlign w:val="bottom"/>
            <w:hideMark/>
          </w:tcPr>
          <w:p w:rsidR="002551DD" w:rsidRDefault="002551DD" w:rsidP="00FE18CD">
            <w:pPr>
              <w:rPr>
                <w:rStyle w:val="Strong"/>
                <w:rFonts w:ascii="inherit" w:hAnsi="inherit"/>
                <w:bdr w:val="none" w:sz="0" w:space="0" w:color="auto" w:frame="1"/>
              </w:rPr>
            </w:pPr>
          </w:p>
        </w:tc>
        <w:tc>
          <w:tcPr>
            <w:tcW w:w="2131" w:type="dxa"/>
            <w:tcBorders>
              <w:top w:val="single" w:sz="4" w:space="0" w:color="auto"/>
              <w:left w:val="nil"/>
              <w:bottom w:val="nil"/>
              <w:right w:val="nil"/>
            </w:tcBorders>
            <w:tcMar>
              <w:top w:w="97" w:type="dxa"/>
              <w:left w:w="208" w:type="dxa"/>
              <w:bottom w:w="97" w:type="dxa"/>
              <w:right w:w="208" w:type="dxa"/>
            </w:tcMar>
            <w:vAlign w:val="bottom"/>
            <w:hideMark/>
          </w:tcPr>
          <w:p w:rsidR="002551DD" w:rsidRDefault="002551DD" w:rsidP="00FE18CD"/>
        </w:tc>
        <w:tc>
          <w:tcPr>
            <w:tcW w:w="1920" w:type="dxa"/>
            <w:tcBorders>
              <w:top w:val="single" w:sz="4" w:space="0" w:color="auto"/>
              <w:left w:val="nil"/>
              <w:bottom w:val="nil"/>
              <w:right w:val="nil"/>
            </w:tcBorders>
            <w:tcMar>
              <w:top w:w="97" w:type="dxa"/>
              <w:left w:w="208" w:type="dxa"/>
              <w:bottom w:w="97" w:type="dxa"/>
              <w:right w:w="208" w:type="dxa"/>
            </w:tcMar>
            <w:vAlign w:val="bottom"/>
            <w:hideMark/>
          </w:tcPr>
          <w:p w:rsidR="002551DD" w:rsidRDefault="002551DD" w:rsidP="00FE18CD"/>
        </w:tc>
        <w:tc>
          <w:tcPr>
            <w:tcW w:w="1852" w:type="dxa"/>
            <w:tcBorders>
              <w:top w:val="single" w:sz="4" w:space="0" w:color="auto"/>
              <w:left w:val="nil"/>
              <w:bottom w:val="nil"/>
              <w:right w:val="nil"/>
            </w:tcBorders>
            <w:tcMar>
              <w:top w:w="97" w:type="dxa"/>
              <w:left w:w="208" w:type="dxa"/>
              <w:bottom w:w="97" w:type="dxa"/>
              <w:right w:w="208" w:type="dxa"/>
            </w:tcMar>
            <w:vAlign w:val="bottom"/>
            <w:hideMark/>
          </w:tcPr>
          <w:p w:rsidR="002551DD" w:rsidRDefault="002551DD" w:rsidP="00FE18CD"/>
        </w:tc>
        <w:tc>
          <w:tcPr>
            <w:tcW w:w="1934" w:type="dxa"/>
            <w:tcBorders>
              <w:top w:val="single" w:sz="4" w:space="0" w:color="auto"/>
              <w:left w:val="nil"/>
              <w:bottom w:val="nil"/>
              <w:right w:val="single" w:sz="4" w:space="0" w:color="auto"/>
            </w:tcBorders>
            <w:tcMar>
              <w:top w:w="97" w:type="dxa"/>
              <w:left w:w="208" w:type="dxa"/>
              <w:bottom w:w="97" w:type="dxa"/>
              <w:right w:w="208" w:type="dxa"/>
            </w:tcMar>
            <w:vAlign w:val="bottom"/>
            <w:hideMark/>
          </w:tcPr>
          <w:p w:rsidR="002551DD" w:rsidRDefault="002551DD" w:rsidP="00FE18CD"/>
        </w:tc>
      </w:tr>
      <w:tr w:rsidR="003E5CA3" w:rsidTr="00FE18CD">
        <w:tc>
          <w:tcPr>
            <w:tcW w:w="1565" w:type="dxa"/>
            <w:tcBorders>
              <w:top w:val="nil"/>
              <w:left w:val="single" w:sz="4" w:space="0" w:color="auto"/>
              <w:bottom w:val="nil"/>
              <w:right w:val="nil"/>
            </w:tcBorders>
            <w:tcMar>
              <w:top w:w="97" w:type="dxa"/>
              <w:left w:w="208" w:type="dxa"/>
              <w:bottom w:w="97" w:type="dxa"/>
              <w:right w:w="208" w:type="dxa"/>
            </w:tcMar>
            <w:vAlign w:val="bottom"/>
            <w:hideMark/>
          </w:tcPr>
          <w:p w:rsidR="003E5CA3" w:rsidRDefault="003E5CA3" w:rsidP="00FE18CD">
            <w:pPr>
              <w:rPr>
                <w:sz w:val="24"/>
                <w:szCs w:val="24"/>
              </w:rPr>
            </w:pPr>
          </w:p>
        </w:tc>
        <w:tc>
          <w:tcPr>
            <w:tcW w:w="2131" w:type="dxa"/>
            <w:tcBorders>
              <w:top w:val="nil"/>
              <w:left w:val="nil"/>
              <w:bottom w:val="nil"/>
              <w:right w:val="nil"/>
            </w:tcBorders>
            <w:tcMar>
              <w:top w:w="97" w:type="dxa"/>
              <w:left w:w="208" w:type="dxa"/>
              <w:bottom w:w="97" w:type="dxa"/>
              <w:right w:w="208" w:type="dxa"/>
            </w:tcMar>
            <w:vAlign w:val="bottom"/>
            <w:hideMark/>
          </w:tcPr>
          <w:p w:rsidR="003E5CA3" w:rsidRDefault="003E5CA3" w:rsidP="00FE18CD">
            <w:pPr>
              <w:rPr>
                <w:sz w:val="24"/>
                <w:szCs w:val="24"/>
              </w:rPr>
            </w:pPr>
          </w:p>
        </w:tc>
        <w:tc>
          <w:tcPr>
            <w:tcW w:w="1920" w:type="dxa"/>
            <w:tcBorders>
              <w:top w:val="nil"/>
              <w:left w:val="nil"/>
              <w:bottom w:val="nil"/>
              <w:right w:val="nil"/>
            </w:tcBorders>
            <w:tcMar>
              <w:top w:w="97" w:type="dxa"/>
              <w:left w:w="208" w:type="dxa"/>
              <w:bottom w:w="97" w:type="dxa"/>
              <w:right w:w="208" w:type="dxa"/>
            </w:tcMar>
            <w:vAlign w:val="bottom"/>
            <w:hideMark/>
          </w:tcPr>
          <w:p w:rsidR="003E5CA3" w:rsidRDefault="003E5CA3" w:rsidP="00FE18CD">
            <w:pPr>
              <w:rPr>
                <w:sz w:val="24"/>
                <w:szCs w:val="24"/>
              </w:rPr>
            </w:pPr>
          </w:p>
        </w:tc>
        <w:tc>
          <w:tcPr>
            <w:tcW w:w="1852" w:type="dxa"/>
            <w:tcBorders>
              <w:top w:val="nil"/>
              <w:left w:val="nil"/>
              <w:bottom w:val="nil"/>
              <w:right w:val="nil"/>
            </w:tcBorders>
            <w:tcMar>
              <w:top w:w="97" w:type="dxa"/>
              <w:left w:w="208" w:type="dxa"/>
              <w:bottom w:w="97" w:type="dxa"/>
              <w:right w:w="208" w:type="dxa"/>
            </w:tcMar>
            <w:vAlign w:val="bottom"/>
            <w:hideMark/>
          </w:tcPr>
          <w:p w:rsidR="003E5CA3" w:rsidRDefault="003E5CA3" w:rsidP="00FE18CD">
            <w:pPr>
              <w:rPr>
                <w:sz w:val="24"/>
                <w:szCs w:val="24"/>
              </w:rPr>
            </w:pPr>
          </w:p>
        </w:tc>
        <w:tc>
          <w:tcPr>
            <w:tcW w:w="1934" w:type="dxa"/>
            <w:tcBorders>
              <w:top w:val="nil"/>
              <w:left w:val="nil"/>
              <w:bottom w:val="nil"/>
              <w:right w:val="single" w:sz="4" w:space="0" w:color="auto"/>
            </w:tcBorders>
            <w:tcMar>
              <w:top w:w="97" w:type="dxa"/>
              <w:left w:w="208" w:type="dxa"/>
              <w:bottom w:w="97" w:type="dxa"/>
              <w:right w:w="208" w:type="dxa"/>
            </w:tcMar>
            <w:vAlign w:val="bottom"/>
            <w:hideMark/>
          </w:tcPr>
          <w:p w:rsidR="003E5CA3" w:rsidRDefault="003E5CA3" w:rsidP="00FE18CD">
            <w:pPr>
              <w:rPr>
                <w:sz w:val="24"/>
                <w:szCs w:val="24"/>
              </w:rPr>
            </w:pPr>
          </w:p>
        </w:tc>
      </w:tr>
      <w:tr w:rsidR="003E5CA3" w:rsidTr="002551DD">
        <w:trPr>
          <w:trHeight w:val="2685"/>
        </w:trPr>
        <w:tc>
          <w:tcPr>
            <w:tcW w:w="1565" w:type="dxa"/>
            <w:tcBorders>
              <w:top w:val="single" w:sz="4" w:space="0" w:color="auto"/>
              <w:left w:val="single" w:sz="4" w:space="0" w:color="auto"/>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rPr>
                <w:rStyle w:val="Strong"/>
                <w:rFonts w:ascii="inherit" w:hAnsi="inherit"/>
                <w:bdr w:val="none" w:sz="0" w:space="0" w:color="auto" w:frame="1"/>
              </w:rPr>
              <w:lastRenderedPageBreak/>
              <w:t>Risk</w:t>
            </w:r>
          </w:p>
        </w:tc>
        <w:tc>
          <w:tcPr>
            <w:tcW w:w="2131" w:type="dxa"/>
            <w:tcBorders>
              <w:top w:val="single" w:sz="4" w:space="0" w:color="auto"/>
              <w:left w:val="nil"/>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t>The risk here refers to the risk of bankruptcy.</w:t>
            </w:r>
          </w:p>
        </w:tc>
        <w:tc>
          <w:tcPr>
            <w:tcW w:w="1920" w:type="dxa"/>
            <w:tcBorders>
              <w:top w:val="single" w:sz="4" w:space="0" w:color="auto"/>
              <w:left w:val="nil"/>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t>There is a very low risk of bankruptcy as a higher level of liquidity is maintained in the business in this approach.</w:t>
            </w:r>
          </w:p>
        </w:tc>
        <w:tc>
          <w:tcPr>
            <w:tcW w:w="1852" w:type="dxa"/>
            <w:tcBorders>
              <w:top w:val="single" w:sz="4" w:space="0" w:color="auto"/>
              <w:left w:val="nil"/>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t>There is a high risk of bankruptcy due to extremely tight liquidity position being maintained.</w:t>
            </w:r>
          </w:p>
        </w:tc>
        <w:tc>
          <w:tcPr>
            <w:tcW w:w="1934" w:type="dxa"/>
            <w:tcBorders>
              <w:top w:val="single" w:sz="4" w:space="0" w:color="auto"/>
              <w:left w:val="nil"/>
              <w:bottom w:val="single" w:sz="4" w:space="0" w:color="auto"/>
              <w:right w:val="single" w:sz="4" w:space="0" w:color="auto"/>
            </w:tcBorders>
            <w:tcMar>
              <w:top w:w="97" w:type="dxa"/>
              <w:left w:w="208" w:type="dxa"/>
              <w:bottom w:w="97" w:type="dxa"/>
              <w:right w:w="208" w:type="dxa"/>
            </w:tcMar>
            <w:vAlign w:val="bottom"/>
            <w:hideMark/>
          </w:tcPr>
          <w:p w:rsidR="003E5CA3" w:rsidRDefault="003E5CA3" w:rsidP="00FE18CD">
            <w:pPr>
              <w:rPr>
                <w:sz w:val="24"/>
                <w:szCs w:val="24"/>
              </w:rPr>
            </w:pPr>
            <w:r>
              <w:t>The risk is balanced here. The firm will bow down to bankruptcy only in an extremely bad situation.</w:t>
            </w:r>
          </w:p>
        </w:tc>
      </w:tr>
      <w:tr w:rsidR="002551DD" w:rsidTr="002551DD">
        <w:tc>
          <w:tcPr>
            <w:tcW w:w="1565" w:type="dxa"/>
            <w:tcBorders>
              <w:top w:val="single" w:sz="4" w:space="0" w:color="auto"/>
              <w:left w:val="single" w:sz="4" w:space="0" w:color="auto"/>
              <w:bottom w:val="nil"/>
              <w:right w:val="nil"/>
            </w:tcBorders>
            <w:tcMar>
              <w:top w:w="97" w:type="dxa"/>
              <w:left w:w="208" w:type="dxa"/>
              <w:bottom w:w="97" w:type="dxa"/>
              <w:right w:w="208" w:type="dxa"/>
            </w:tcMar>
            <w:vAlign w:val="bottom"/>
            <w:hideMark/>
          </w:tcPr>
          <w:p w:rsidR="002551DD" w:rsidRDefault="002551DD" w:rsidP="00FE18CD">
            <w:pPr>
              <w:rPr>
                <w:rStyle w:val="Strong"/>
                <w:rFonts w:ascii="inherit" w:hAnsi="inherit"/>
                <w:bdr w:val="none" w:sz="0" w:space="0" w:color="auto" w:frame="1"/>
              </w:rPr>
            </w:pPr>
          </w:p>
        </w:tc>
        <w:tc>
          <w:tcPr>
            <w:tcW w:w="2131" w:type="dxa"/>
            <w:tcBorders>
              <w:top w:val="single" w:sz="4" w:space="0" w:color="auto"/>
              <w:left w:val="nil"/>
              <w:bottom w:val="nil"/>
              <w:right w:val="nil"/>
            </w:tcBorders>
            <w:tcMar>
              <w:top w:w="97" w:type="dxa"/>
              <w:left w:w="208" w:type="dxa"/>
              <w:bottom w:w="97" w:type="dxa"/>
              <w:right w:w="208" w:type="dxa"/>
            </w:tcMar>
            <w:vAlign w:val="bottom"/>
            <w:hideMark/>
          </w:tcPr>
          <w:p w:rsidR="002551DD" w:rsidRDefault="002551DD" w:rsidP="00FE18CD"/>
        </w:tc>
        <w:tc>
          <w:tcPr>
            <w:tcW w:w="1920" w:type="dxa"/>
            <w:tcBorders>
              <w:top w:val="single" w:sz="4" w:space="0" w:color="auto"/>
              <w:left w:val="nil"/>
              <w:bottom w:val="nil"/>
              <w:right w:val="nil"/>
            </w:tcBorders>
            <w:tcMar>
              <w:top w:w="97" w:type="dxa"/>
              <w:left w:w="208" w:type="dxa"/>
              <w:bottom w:w="97" w:type="dxa"/>
              <w:right w:w="208" w:type="dxa"/>
            </w:tcMar>
            <w:vAlign w:val="bottom"/>
            <w:hideMark/>
          </w:tcPr>
          <w:p w:rsidR="002551DD" w:rsidRDefault="002551DD" w:rsidP="00FE18CD"/>
        </w:tc>
        <w:tc>
          <w:tcPr>
            <w:tcW w:w="1852" w:type="dxa"/>
            <w:tcBorders>
              <w:top w:val="single" w:sz="4" w:space="0" w:color="auto"/>
              <w:left w:val="nil"/>
              <w:bottom w:val="nil"/>
              <w:right w:val="nil"/>
            </w:tcBorders>
            <w:tcMar>
              <w:top w:w="97" w:type="dxa"/>
              <w:left w:w="208" w:type="dxa"/>
              <w:bottom w:w="97" w:type="dxa"/>
              <w:right w:w="208" w:type="dxa"/>
            </w:tcMar>
            <w:vAlign w:val="bottom"/>
            <w:hideMark/>
          </w:tcPr>
          <w:p w:rsidR="002551DD" w:rsidRDefault="002551DD" w:rsidP="00FE18CD"/>
        </w:tc>
        <w:tc>
          <w:tcPr>
            <w:tcW w:w="1934" w:type="dxa"/>
            <w:tcBorders>
              <w:top w:val="single" w:sz="4" w:space="0" w:color="auto"/>
              <w:left w:val="nil"/>
              <w:bottom w:val="nil"/>
              <w:right w:val="single" w:sz="4" w:space="0" w:color="auto"/>
            </w:tcBorders>
            <w:tcMar>
              <w:top w:w="97" w:type="dxa"/>
              <w:left w:w="208" w:type="dxa"/>
              <w:bottom w:w="97" w:type="dxa"/>
              <w:right w:w="208" w:type="dxa"/>
            </w:tcMar>
            <w:vAlign w:val="bottom"/>
            <w:hideMark/>
          </w:tcPr>
          <w:p w:rsidR="002551DD" w:rsidRDefault="002551DD" w:rsidP="00FE18CD"/>
        </w:tc>
      </w:tr>
      <w:tr w:rsidR="003E5CA3" w:rsidTr="002551DD">
        <w:trPr>
          <w:trHeight w:val="2040"/>
        </w:trPr>
        <w:tc>
          <w:tcPr>
            <w:tcW w:w="1565" w:type="dxa"/>
            <w:tcBorders>
              <w:top w:val="nil"/>
              <w:left w:val="single" w:sz="4" w:space="0" w:color="auto"/>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rPr>
                <w:rStyle w:val="Strong"/>
                <w:rFonts w:ascii="inherit" w:hAnsi="inherit"/>
                <w:bdr w:val="none" w:sz="0" w:space="0" w:color="auto" w:frame="1"/>
              </w:rPr>
              <w:t>Asset utilization</w:t>
            </w:r>
          </w:p>
        </w:tc>
        <w:tc>
          <w:tcPr>
            <w:tcW w:w="2131" w:type="dxa"/>
            <w:tcBorders>
              <w:top w:val="nil"/>
              <w:left w:val="nil"/>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t>Asset utilization here is the utilization of </w:t>
            </w:r>
            <w:hyperlink r:id="rId6" w:history="1">
              <w:r>
                <w:rPr>
                  <w:rStyle w:val="Hyperlink"/>
                  <w:color w:val="0274BE"/>
                  <w:bdr w:val="none" w:sz="0" w:space="0" w:color="auto" w:frame="1"/>
                </w:rPr>
                <w:t>current assets</w:t>
              </w:r>
            </w:hyperlink>
            <w:r>
              <w:t>.</w:t>
            </w:r>
          </w:p>
        </w:tc>
        <w:tc>
          <w:tcPr>
            <w:tcW w:w="1920" w:type="dxa"/>
            <w:tcBorders>
              <w:top w:val="nil"/>
              <w:left w:val="nil"/>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t>Too high level of current assets makes its utilization ratio low.</w:t>
            </w:r>
          </w:p>
        </w:tc>
        <w:tc>
          <w:tcPr>
            <w:tcW w:w="1852" w:type="dxa"/>
            <w:tcBorders>
              <w:top w:val="nil"/>
              <w:left w:val="nil"/>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t>Similarly, too low level of current assets makes the utilization ratio high.</w:t>
            </w:r>
          </w:p>
        </w:tc>
        <w:tc>
          <w:tcPr>
            <w:tcW w:w="1934" w:type="dxa"/>
            <w:tcBorders>
              <w:top w:val="nil"/>
              <w:left w:val="nil"/>
              <w:bottom w:val="single" w:sz="4" w:space="0" w:color="auto"/>
              <w:right w:val="single" w:sz="4" w:space="0" w:color="auto"/>
            </w:tcBorders>
            <w:tcMar>
              <w:top w:w="97" w:type="dxa"/>
              <w:left w:w="208" w:type="dxa"/>
              <w:bottom w:w="97" w:type="dxa"/>
              <w:right w:w="208" w:type="dxa"/>
            </w:tcMar>
            <w:vAlign w:val="bottom"/>
            <w:hideMark/>
          </w:tcPr>
          <w:p w:rsidR="003E5CA3" w:rsidRDefault="003E5CA3" w:rsidP="00FE18CD">
            <w:pPr>
              <w:rPr>
                <w:sz w:val="24"/>
                <w:szCs w:val="24"/>
              </w:rPr>
            </w:pPr>
            <w:r>
              <w:t>Moderate</w:t>
            </w:r>
          </w:p>
        </w:tc>
      </w:tr>
      <w:tr w:rsidR="002551DD" w:rsidTr="002551DD">
        <w:trPr>
          <w:trHeight w:val="30"/>
        </w:trPr>
        <w:tc>
          <w:tcPr>
            <w:tcW w:w="1565" w:type="dxa"/>
            <w:tcBorders>
              <w:top w:val="single" w:sz="4" w:space="0" w:color="auto"/>
              <w:left w:val="single" w:sz="4" w:space="0" w:color="auto"/>
              <w:bottom w:val="nil"/>
              <w:right w:val="nil"/>
            </w:tcBorders>
            <w:tcMar>
              <w:top w:w="97" w:type="dxa"/>
              <w:left w:w="208" w:type="dxa"/>
              <w:bottom w:w="97" w:type="dxa"/>
              <w:right w:w="208" w:type="dxa"/>
            </w:tcMar>
            <w:vAlign w:val="bottom"/>
            <w:hideMark/>
          </w:tcPr>
          <w:p w:rsidR="002551DD" w:rsidRDefault="002551DD" w:rsidP="00FE18CD">
            <w:pPr>
              <w:rPr>
                <w:rStyle w:val="Strong"/>
                <w:rFonts w:ascii="inherit" w:hAnsi="inherit"/>
                <w:bdr w:val="none" w:sz="0" w:space="0" w:color="auto" w:frame="1"/>
              </w:rPr>
            </w:pPr>
          </w:p>
        </w:tc>
        <w:tc>
          <w:tcPr>
            <w:tcW w:w="2131" w:type="dxa"/>
            <w:tcBorders>
              <w:top w:val="single" w:sz="4" w:space="0" w:color="auto"/>
              <w:left w:val="nil"/>
              <w:bottom w:val="nil"/>
              <w:right w:val="nil"/>
            </w:tcBorders>
            <w:tcMar>
              <w:top w:w="97" w:type="dxa"/>
              <w:left w:w="208" w:type="dxa"/>
              <w:bottom w:w="97" w:type="dxa"/>
              <w:right w:w="208" w:type="dxa"/>
            </w:tcMar>
            <w:vAlign w:val="bottom"/>
            <w:hideMark/>
          </w:tcPr>
          <w:p w:rsidR="002551DD" w:rsidRDefault="002551DD" w:rsidP="00FE18CD"/>
        </w:tc>
        <w:tc>
          <w:tcPr>
            <w:tcW w:w="1920" w:type="dxa"/>
            <w:tcBorders>
              <w:top w:val="single" w:sz="4" w:space="0" w:color="auto"/>
              <w:left w:val="nil"/>
              <w:bottom w:val="nil"/>
              <w:right w:val="nil"/>
            </w:tcBorders>
            <w:tcMar>
              <w:top w:w="97" w:type="dxa"/>
              <w:left w:w="208" w:type="dxa"/>
              <w:bottom w:w="97" w:type="dxa"/>
              <w:right w:w="208" w:type="dxa"/>
            </w:tcMar>
            <w:vAlign w:val="bottom"/>
            <w:hideMark/>
          </w:tcPr>
          <w:p w:rsidR="002551DD" w:rsidRDefault="002551DD" w:rsidP="00FE18CD"/>
        </w:tc>
        <w:tc>
          <w:tcPr>
            <w:tcW w:w="1852" w:type="dxa"/>
            <w:tcBorders>
              <w:top w:val="single" w:sz="4" w:space="0" w:color="auto"/>
              <w:left w:val="nil"/>
              <w:bottom w:val="nil"/>
              <w:right w:val="nil"/>
            </w:tcBorders>
            <w:tcMar>
              <w:top w:w="97" w:type="dxa"/>
              <w:left w:w="208" w:type="dxa"/>
              <w:bottom w:w="97" w:type="dxa"/>
              <w:right w:w="208" w:type="dxa"/>
            </w:tcMar>
            <w:vAlign w:val="bottom"/>
            <w:hideMark/>
          </w:tcPr>
          <w:p w:rsidR="002551DD" w:rsidRDefault="002551DD" w:rsidP="00FE18CD"/>
        </w:tc>
        <w:tc>
          <w:tcPr>
            <w:tcW w:w="1934" w:type="dxa"/>
            <w:tcBorders>
              <w:top w:val="single" w:sz="4" w:space="0" w:color="auto"/>
              <w:left w:val="nil"/>
              <w:bottom w:val="nil"/>
              <w:right w:val="single" w:sz="4" w:space="0" w:color="auto"/>
            </w:tcBorders>
            <w:tcMar>
              <w:top w:w="97" w:type="dxa"/>
              <w:left w:w="208" w:type="dxa"/>
              <w:bottom w:w="97" w:type="dxa"/>
              <w:right w:w="208" w:type="dxa"/>
            </w:tcMar>
            <w:vAlign w:val="bottom"/>
            <w:hideMark/>
          </w:tcPr>
          <w:p w:rsidR="002551DD" w:rsidRDefault="002551DD" w:rsidP="00FE18CD"/>
        </w:tc>
      </w:tr>
      <w:tr w:rsidR="003E5CA3" w:rsidTr="002551DD">
        <w:tc>
          <w:tcPr>
            <w:tcW w:w="1565" w:type="dxa"/>
            <w:tcBorders>
              <w:top w:val="nil"/>
              <w:left w:val="single" w:sz="4" w:space="0" w:color="auto"/>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rPr>
                <w:rStyle w:val="Strong"/>
                <w:rFonts w:ascii="inherit" w:hAnsi="inherit"/>
                <w:bdr w:val="none" w:sz="0" w:space="0" w:color="auto" w:frame="1"/>
              </w:rPr>
              <w:t>Working capital</w:t>
            </w:r>
          </w:p>
        </w:tc>
        <w:tc>
          <w:tcPr>
            <w:tcW w:w="2131" w:type="dxa"/>
            <w:tcBorders>
              <w:top w:val="nil"/>
              <w:left w:val="nil"/>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t>Working capital is the capital used to fill the gap between current assets and current liabilities.</w:t>
            </w:r>
          </w:p>
        </w:tc>
        <w:tc>
          <w:tcPr>
            <w:tcW w:w="1920" w:type="dxa"/>
            <w:tcBorders>
              <w:top w:val="nil"/>
              <w:left w:val="nil"/>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t>More working capital is required to execute the conservatism. Higher working capital avoids all risks.</w:t>
            </w:r>
          </w:p>
        </w:tc>
        <w:tc>
          <w:tcPr>
            <w:tcW w:w="1852" w:type="dxa"/>
            <w:tcBorders>
              <w:top w:val="nil"/>
              <w:left w:val="nil"/>
              <w:bottom w:val="single" w:sz="4" w:space="0" w:color="auto"/>
              <w:right w:val="nil"/>
            </w:tcBorders>
            <w:tcMar>
              <w:top w:w="97" w:type="dxa"/>
              <w:left w:w="208" w:type="dxa"/>
              <w:bottom w:w="97" w:type="dxa"/>
              <w:right w:w="208" w:type="dxa"/>
            </w:tcMar>
            <w:vAlign w:val="bottom"/>
            <w:hideMark/>
          </w:tcPr>
          <w:p w:rsidR="003E5CA3" w:rsidRDefault="003E5CA3" w:rsidP="00FE18CD">
            <w:pPr>
              <w:rPr>
                <w:sz w:val="24"/>
                <w:szCs w:val="24"/>
              </w:rPr>
            </w:pPr>
            <w:r>
              <w:t>Very low working capital is maintained. Low working capital increases risk but saves the interest cost.</w:t>
            </w:r>
          </w:p>
        </w:tc>
        <w:tc>
          <w:tcPr>
            <w:tcW w:w="1934" w:type="dxa"/>
            <w:tcBorders>
              <w:top w:val="nil"/>
              <w:left w:val="nil"/>
              <w:bottom w:val="single" w:sz="4" w:space="0" w:color="auto"/>
              <w:right w:val="single" w:sz="4" w:space="0" w:color="auto"/>
            </w:tcBorders>
            <w:tcMar>
              <w:top w:w="97" w:type="dxa"/>
              <w:left w:w="208" w:type="dxa"/>
              <w:bottom w:w="97" w:type="dxa"/>
              <w:right w:w="208" w:type="dxa"/>
            </w:tcMar>
            <w:vAlign w:val="bottom"/>
            <w:hideMark/>
          </w:tcPr>
          <w:p w:rsidR="003E5CA3" w:rsidRDefault="003E5CA3" w:rsidP="00FE18CD">
            <w:pPr>
              <w:rPr>
                <w:sz w:val="24"/>
                <w:szCs w:val="24"/>
              </w:rPr>
            </w:pPr>
            <w:r>
              <w:t>Moderate working capital is maintained to stay somewhere between conservative and aggressive strategies.</w:t>
            </w:r>
          </w:p>
        </w:tc>
      </w:tr>
    </w:tbl>
    <w:p w:rsidR="003E5CA3" w:rsidRDefault="003E5CA3" w:rsidP="003E5CA3">
      <w:pPr>
        <w:autoSpaceDE w:val="0"/>
        <w:autoSpaceDN w:val="0"/>
        <w:adjustRightInd w:val="0"/>
        <w:spacing w:after="0" w:line="240" w:lineRule="auto"/>
        <w:rPr>
          <w:rFonts w:ascii="Times New Roman" w:hAnsi="Times New Roman" w:cs="Times New Roman"/>
          <w:b/>
          <w:bCs/>
          <w:sz w:val="20"/>
          <w:szCs w:val="20"/>
        </w:rPr>
      </w:pPr>
    </w:p>
    <w:p w:rsidR="003E5CA3" w:rsidRDefault="003E5CA3" w:rsidP="003E5CA3">
      <w:pPr>
        <w:autoSpaceDE w:val="0"/>
        <w:autoSpaceDN w:val="0"/>
        <w:adjustRightInd w:val="0"/>
        <w:spacing w:after="0" w:line="240" w:lineRule="auto"/>
        <w:rPr>
          <w:rFonts w:ascii="Times New Roman" w:hAnsi="Times New Roman" w:cs="Times New Roman"/>
          <w:b/>
          <w:bCs/>
          <w:sz w:val="20"/>
          <w:szCs w:val="20"/>
        </w:rPr>
      </w:pPr>
    </w:p>
    <w:p w:rsidR="003E5CA3" w:rsidRDefault="003E5CA3" w:rsidP="003E5CA3"/>
    <w:p w:rsidR="003E5CA3" w:rsidRDefault="003E5CA3" w:rsidP="003E5CA3">
      <w:r>
        <w:t>SHORT TERM VS. LONG TERM FINANCING VIS A VIS RISK AND PROFITABILITY TRADEOFF</w:t>
      </w:r>
    </w:p>
    <w:p w:rsidR="003E5CA3" w:rsidRDefault="003E5CA3" w:rsidP="003E5CA3">
      <w:r>
        <w:t>PROFITABILITY STANDPOINT</w:t>
      </w:r>
    </w:p>
    <w:p w:rsidR="003E5CA3" w:rsidRDefault="003E5CA3" w:rsidP="003E5CA3">
      <w:r>
        <w:t>In general, short-term interest rates are cheaper to long-term interest rates because of the term premium. That means short-term has lower interest cost and higher profitability whereas long term has higher interest cost and lower profitability. Especially, when the long-term funds are utilized to finance the working capital, unnecessary interest is paid for the periods when the funds are not utilized. In essence, the short-term financing wins the race if profitability is the concern. Let’s now look at the risk concern.</w:t>
      </w:r>
    </w:p>
    <w:p w:rsidR="002551DD" w:rsidRDefault="002551DD" w:rsidP="003E5CA3"/>
    <w:p w:rsidR="003E5CA3" w:rsidRDefault="003E5CA3" w:rsidP="003E5CA3">
      <w:r>
        <w:lastRenderedPageBreak/>
        <w:t>RISK STANDPOINT</w:t>
      </w:r>
    </w:p>
    <w:p w:rsidR="003E5CA3" w:rsidRDefault="003E5CA3" w:rsidP="003E5CA3">
      <w:r>
        <w:t>There are two risks involved in short-term financing viz. Refinancing Risk and Risk of Interest Rate Fluctuations with Refinancing. Refinancing is very uncertain and if the lender denies it for any reason, the options left to the borrower for making payment is either to sell off the assets and pay or file for liquidation if failed to realize the assets. The risk of adverse change in interest rate, while refinancing may increase the cost of financing and this risk, leads to low profitability. On the contrary, long-term financing neither has to refinance risk nor the risk of change of interest rate frequently. Here, the long-term financing wins the race.</w:t>
      </w:r>
    </w:p>
    <w:p w:rsidR="003E5CA3" w:rsidRDefault="002551DD" w:rsidP="003E5CA3">
      <w:r>
        <w:t>====================================================================================</w:t>
      </w:r>
    </w:p>
    <w:p w:rsidR="003E5CA3" w:rsidRDefault="003E5CA3" w:rsidP="003E5CA3"/>
    <w:p w:rsidR="003E5CA3" w:rsidRDefault="003E5CA3" w:rsidP="003E5CA3"/>
    <w:p w:rsidR="003E5CA3" w:rsidRDefault="003E5CA3" w:rsidP="003E5CA3"/>
    <w:p w:rsidR="003E5CA3" w:rsidRDefault="003E5CA3" w:rsidP="003E5CA3"/>
    <w:p w:rsidR="003E5CA3" w:rsidRDefault="003E5CA3" w:rsidP="003E5CA3"/>
    <w:p w:rsidR="003E5CA3" w:rsidRDefault="003E5CA3" w:rsidP="003E5CA3"/>
    <w:p w:rsidR="003E5CA3" w:rsidRDefault="003E5CA3" w:rsidP="003E5CA3"/>
    <w:p w:rsidR="00B70AD8" w:rsidRDefault="00B70AD8" w:rsidP="00034F92"/>
    <w:p w:rsidR="000C67A8" w:rsidRPr="00F07076" w:rsidRDefault="00B70AD8" w:rsidP="000C67A8">
      <w:pPr>
        <w:jc w:val="both"/>
        <w:rPr>
          <w:sz w:val="24"/>
          <w:szCs w:val="24"/>
        </w:rPr>
      </w:pPr>
      <w:r w:rsidRPr="00F07076">
        <w:rPr>
          <w:sz w:val="24"/>
          <w:szCs w:val="24"/>
        </w:rPr>
        <w:t xml:space="preserve">    </w:t>
      </w:r>
    </w:p>
    <w:sectPr w:rsidR="000C67A8" w:rsidRPr="00F07076" w:rsidSect="000403F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7B9" w:rsidRDefault="008A77B9" w:rsidP="00F07076">
      <w:pPr>
        <w:spacing w:after="0" w:line="240" w:lineRule="auto"/>
      </w:pPr>
      <w:r>
        <w:separator/>
      </w:r>
    </w:p>
  </w:endnote>
  <w:endnote w:type="continuationSeparator" w:id="1">
    <w:p w:rsidR="008A77B9" w:rsidRDefault="008A77B9" w:rsidP="00F07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213704"/>
      <w:docPartObj>
        <w:docPartGallery w:val="Page Numbers (Bottom of Page)"/>
        <w:docPartUnique/>
      </w:docPartObj>
    </w:sdtPr>
    <w:sdtContent>
      <w:p w:rsidR="00F07076" w:rsidRDefault="002E4C0A">
        <w:pPr>
          <w:pStyle w:val="Footer"/>
          <w:jc w:val="center"/>
        </w:pPr>
        <w:fldSimple w:instr=" PAGE   \* MERGEFORMAT ">
          <w:r w:rsidR="002551DD">
            <w:rPr>
              <w:noProof/>
            </w:rPr>
            <w:t>5</w:t>
          </w:r>
        </w:fldSimple>
      </w:p>
    </w:sdtContent>
  </w:sdt>
  <w:p w:rsidR="00F07076" w:rsidRDefault="00F070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7B9" w:rsidRDefault="008A77B9" w:rsidP="00F07076">
      <w:pPr>
        <w:spacing w:after="0" w:line="240" w:lineRule="auto"/>
      </w:pPr>
      <w:r>
        <w:separator/>
      </w:r>
    </w:p>
  </w:footnote>
  <w:footnote w:type="continuationSeparator" w:id="1">
    <w:p w:rsidR="008A77B9" w:rsidRDefault="008A77B9" w:rsidP="00F070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34F92"/>
    <w:rsid w:val="0000182A"/>
    <w:rsid w:val="00034F92"/>
    <w:rsid w:val="000403F9"/>
    <w:rsid w:val="0006021E"/>
    <w:rsid w:val="000C67A8"/>
    <w:rsid w:val="001D3289"/>
    <w:rsid w:val="002551DD"/>
    <w:rsid w:val="002E4C0A"/>
    <w:rsid w:val="003C03E7"/>
    <w:rsid w:val="003E5CA3"/>
    <w:rsid w:val="005F2055"/>
    <w:rsid w:val="008A77B9"/>
    <w:rsid w:val="00A92B18"/>
    <w:rsid w:val="00B70AD8"/>
    <w:rsid w:val="00BD0BCD"/>
    <w:rsid w:val="00C0672F"/>
    <w:rsid w:val="00DC57F4"/>
    <w:rsid w:val="00DE408C"/>
    <w:rsid w:val="00E744ED"/>
    <w:rsid w:val="00F07076"/>
    <w:rsid w:val="00FB3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8"/>
    <w:rPr>
      <w:rFonts w:ascii="Tahoma" w:hAnsi="Tahoma" w:cs="Tahoma"/>
      <w:sz w:val="16"/>
      <w:szCs w:val="16"/>
    </w:rPr>
  </w:style>
  <w:style w:type="paragraph" w:styleId="Header">
    <w:name w:val="header"/>
    <w:basedOn w:val="Normal"/>
    <w:link w:val="HeaderChar"/>
    <w:uiPriority w:val="99"/>
    <w:semiHidden/>
    <w:unhideWhenUsed/>
    <w:rsid w:val="00F07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076"/>
  </w:style>
  <w:style w:type="paragraph" w:styleId="Footer">
    <w:name w:val="footer"/>
    <w:basedOn w:val="Normal"/>
    <w:link w:val="FooterChar"/>
    <w:uiPriority w:val="99"/>
    <w:unhideWhenUsed/>
    <w:rsid w:val="00F07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076"/>
  </w:style>
  <w:style w:type="character" w:styleId="Hyperlink">
    <w:name w:val="Hyperlink"/>
    <w:basedOn w:val="DefaultParagraphFont"/>
    <w:uiPriority w:val="99"/>
    <w:semiHidden/>
    <w:unhideWhenUsed/>
    <w:rsid w:val="003E5CA3"/>
    <w:rPr>
      <w:color w:val="0000FF"/>
      <w:u w:val="single"/>
    </w:rPr>
  </w:style>
  <w:style w:type="character" w:styleId="Strong">
    <w:name w:val="Strong"/>
    <w:basedOn w:val="DefaultParagraphFont"/>
    <w:uiPriority w:val="22"/>
    <w:qFormat/>
    <w:rsid w:val="003E5CA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financemanagement.com/working-capital-financing/current-assets-key-featur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11</cp:revision>
  <dcterms:created xsi:type="dcterms:W3CDTF">2020-04-15T01:40:00Z</dcterms:created>
  <dcterms:modified xsi:type="dcterms:W3CDTF">2020-04-15T15:17:00Z</dcterms:modified>
</cp:coreProperties>
</file>